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Reactions and Syntheses in Medicinal Chemistry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9256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RSM</w:t>
            </w:r>
            <w:r w:rsidR="009256B1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bookmarkStart w:id="0" w:name="_GoBack"/>
            <w:bookmarkEnd w:id="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6B40AD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F179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F1799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4E556A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129,42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>
              <w:rPr>
                <w:rFonts w:asciiTheme="majorHAnsi" w:hAnsiTheme="majorHAnsi" w:cs="Arial"/>
                <w:b/>
                <w:sz w:val="18"/>
                <w:szCs w:val="18"/>
              </w:rPr>
              <w:t>174,42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4E556A" w:rsidRPr="00B96B4F" w:rsidTr="00DA2BAA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4E556A" w:rsidRPr="00B96B4F" w:rsidRDefault="004E556A" w:rsidP="00DA2BAA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E556A" w:rsidRPr="00B96B4F" w:rsidTr="00DA2BAA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4E556A" w:rsidRPr="00B96B4F" w:rsidRDefault="004E556A" w:rsidP="004E556A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</w:t>
            </w:r>
            <w:r w:rsidRPr="004E556A">
              <w:rPr>
                <w:rFonts w:asciiTheme="majorHAnsi" w:hAnsiTheme="majorHAnsi" w:cs="Arial"/>
                <w:b/>
                <w:sz w:val="18"/>
                <w:szCs w:val="18"/>
              </w:rPr>
              <w:t>ther forms of teaching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6B40AD" w:rsidP="00B824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824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E556A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56A" w:rsidRPr="00B96B4F" w:rsidRDefault="006B40AD" w:rsidP="00DA2B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Faculty of Natural Sciences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D8359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Chemistry / Chemistry</w:t>
            </w:r>
            <w:r w:rsidR="00D8359C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Specialization: Medicinal 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4E556A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6B40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prof.dr. Nadira Ibrišimović Mehmedinović</w:t>
            </w:r>
            <w:r w:rsidR="00D8359C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D8359C" w:rsidRPr="00D8359C">
              <w:rPr>
                <w:rFonts w:asciiTheme="majorHAnsi" w:hAnsiTheme="majorHAnsi" w:cs="Arial"/>
                <w:b/>
                <w:sz w:val="18"/>
                <w:szCs w:val="18"/>
              </w:rPr>
              <w:t>PhD, Full Professor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B40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Acquisition of specific knowledge necessary for research work in the application of the principles of organic and inorganic synthesis in accordance with the course content.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824E8" w:rsidRPr="00B824E8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Upon successful completion of the course, the student will be: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able to apply the acquired knowledge of organic and inorganic synthesis to a given target molecule;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able to analyze complex synthetic problems and plan a feasible synthesis;</w:t>
            </w:r>
          </w:p>
          <w:p w:rsidR="00CB72ED" w:rsidRPr="00B96B4F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able to analyze scientific papers and patents related to synthetic problems and apply them to the given problem.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824E8" w:rsidRPr="00B824E8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Synthesis, characterization, and mechanistic studies of transition metal complexes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Isolation and characterization of metabolic molecules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Synthesis and reactions of enolates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Carbonyl condensation reactions; stereospecific aldol additions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Reduction and oxidation reactions of organic functional groups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Aromatic synthetic reactions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Pericyclic reactions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Rearrangements, fragmentations; radical reactions including carbenes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Methods for the separation of racemic mixtures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Stereochemistry, chirality, prochirality, isosterism, bioisosterism</w:t>
            </w:r>
          </w:p>
          <w:p w:rsidR="00CB72ED" w:rsidRPr="00B96B4F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• Heterocyclic synthetic reactions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B40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Lectures by the instructor, discussions and consultations with the course instructor, and individual preparation of a seminar paper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824E8" w:rsidRPr="00B824E8" w:rsidRDefault="006B40AD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24E8" w:rsidRPr="00B824E8">
              <w:rPr>
                <w:rFonts w:asciiTheme="majorHAnsi" w:hAnsiTheme="majorHAnsi" w:cs="Arial"/>
                <w:b/>
                <w:sz w:val="18"/>
                <w:szCs w:val="18"/>
              </w:rPr>
              <w:t>Assessment of student knowledge is carried out using the following methods: tests (midterm exams), a seminar paper, and a final exam.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Student activity during lectures: maximum 5 points.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Two tests (first and second midterm): maximum 2 × 20 points.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Seminar paper within the course area: 15 points.</w:t>
            </w:r>
          </w:p>
          <w:p w:rsidR="00B824E8" w:rsidRPr="00B824E8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– Final exam: maximum 40 points.</w:t>
            </w:r>
          </w:p>
          <w:p w:rsidR="00CB72ED" w:rsidRPr="00B96B4F" w:rsidRDefault="00B824E8" w:rsidP="00B824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24E8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1030D" w:rsidRPr="0041030D" w:rsidRDefault="006B40A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030D" w:rsidRPr="0041030D">
              <w:rPr>
                <w:rFonts w:asciiTheme="majorHAnsi" w:hAnsiTheme="majorHAnsi" w:cs="Arial"/>
                <w:b/>
                <w:sz w:val="18"/>
                <w:szCs w:val="18"/>
              </w:rPr>
              <w:t>Pre-exam obligations: Tests: 40%; Seminar paper: 15%; Student activity: 5%.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Final exam: 40%.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Grading system: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Grade six (6): 55–64 points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Grade seven (7): 65–74 points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Grade eight (8): 75–84 points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Grade nine (9): 85–94 points</w:t>
            </w:r>
          </w:p>
          <w:p w:rsidR="00CB72ED" w:rsidRPr="00B96B4F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Grade ten (10): 95–100 points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1030D" w:rsidRPr="0041030D" w:rsidRDefault="006B40A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030D" w:rsidRPr="0041030D">
              <w:rPr>
                <w:rFonts w:asciiTheme="majorHAnsi" w:hAnsiTheme="majorHAnsi" w:cs="Arial"/>
                <w:b/>
                <w:sz w:val="18"/>
                <w:szCs w:val="18"/>
              </w:rPr>
              <w:t>1.M.Mazalović. Medicinska hemija, prvi dio. 1998.g</w:t>
            </w:r>
          </w:p>
          <w:p w:rsidR="0041030D" w:rsidRPr="0041030D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M.Mazalović. Odabrana poglavlja hemije. </w:t>
            </w:r>
          </w:p>
          <w:p w:rsidR="00CB72ED" w:rsidRPr="00B96B4F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3.A.Crnkić. Z.Hodžić, A.Kesić,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1030D" w:rsidRPr="0041030D" w:rsidRDefault="006B40A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1030D" w:rsidRPr="0041030D">
              <w:rPr>
                <w:rFonts w:asciiTheme="majorHAnsi" w:hAnsiTheme="majorHAnsi" w:cs="Arial"/>
                <w:b/>
                <w:sz w:val="18"/>
                <w:szCs w:val="18"/>
              </w:rPr>
              <w:t xml:space="preserve">Bloomfield M..M., Stephens L. J., Chemistry and the Living Organism; Sixth Ed. John Wiley </w:t>
            </w:r>
            <w:r w:rsidR="0041030D" w:rsidRPr="0041030D">
              <w:rPr>
                <w:rFonts w:asciiTheme="majorHAnsi" w:hAnsiTheme="majorHAnsi" w:cs="Arial"/>
                <w:b/>
                <w:sz w:val="18"/>
                <w:szCs w:val="18"/>
              </w:rPr>
              <w:t></w:t>
            </w:r>
            <w:r w:rsidR="0041030D" w:rsidRPr="0041030D">
              <w:rPr>
                <w:rFonts w:asciiTheme="majorHAnsi" w:hAnsiTheme="majorHAnsi" w:cs="Arial"/>
                <w:b/>
                <w:sz w:val="18"/>
                <w:szCs w:val="18"/>
              </w:rPr>
              <w:t>Sons,</w:t>
            </w:r>
          </w:p>
          <w:p w:rsidR="00CB72ED" w:rsidRPr="00B96B4F" w:rsidRDefault="0041030D" w:rsidP="004103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030D">
              <w:rPr>
                <w:rFonts w:asciiTheme="majorHAnsi" w:hAnsiTheme="majorHAnsi" w:cs="Arial"/>
                <w:b/>
                <w:sz w:val="18"/>
                <w:szCs w:val="18"/>
              </w:rPr>
              <w:t>Inc. New Yo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B40AD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6B40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1030D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6B40AD" w:rsidP="00E6097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1030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E609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1030D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E609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6B40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17A0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256B1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9256B1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9256B1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799" w:rsidRDefault="00EF1799">
      <w:pPr>
        <w:spacing w:line="240" w:lineRule="auto"/>
      </w:pPr>
      <w:r>
        <w:separator/>
      </w:r>
    </w:p>
  </w:endnote>
  <w:endnote w:type="continuationSeparator" w:id="0">
    <w:p w:rsidR="00EF1799" w:rsidRDefault="00EF17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6B40A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6B1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B40AD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B40AD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6B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B40AD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B40AD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B40AD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6B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B40AD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799" w:rsidRDefault="00EF1799">
      <w:pPr>
        <w:spacing w:after="0"/>
      </w:pPr>
      <w:r>
        <w:separator/>
      </w:r>
    </w:p>
  </w:footnote>
  <w:footnote w:type="continuationSeparator" w:id="0">
    <w:p w:rsidR="00EF1799" w:rsidRDefault="00EF1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50000" w:hash="exEVq4ofZyGD6HdfVU4YGe+v0uc=" w:salt="8tFX8YnpaiG6y6Am886edA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B1947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30D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86FD7"/>
    <w:rsid w:val="0048794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56A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45AB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A6E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0AD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2054"/>
    <w:rsid w:val="007322C4"/>
    <w:rsid w:val="00733B1E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15E0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56B1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2E97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24E8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467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67D7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359C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097C"/>
    <w:rsid w:val="00E627C9"/>
    <w:rsid w:val="00E65CD7"/>
    <w:rsid w:val="00E70976"/>
    <w:rsid w:val="00E75615"/>
    <w:rsid w:val="00E76752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7522"/>
    <w:rsid w:val="00EF1799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2CA9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4A2C"/>
  <w15:docId w15:val="{787104FB-3676-4DF4-825A-21570FDB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3BBF-A717-44E2-AB94-4096BD31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8</cp:revision>
  <cp:lastPrinted>2024-03-25T13:56:00Z</cp:lastPrinted>
  <dcterms:created xsi:type="dcterms:W3CDTF">2026-04-25T05:52:00Z</dcterms:created>
  <dcterms:modified xsi:type="dcterms:W3CDTF">2026-04-27T11:24:00Z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